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D950" w14:textId="77777777" w:rsidR="00B361E0" w:rsidRPr="007E02A9" w:rsidRDefault="00B361E0">
      <w:pPr>
        <w:pStyle w:val="BodyText"/>
        <w:rPr>
          <w:rFonts w:ascii="Times New Roman"/>
          <w:sz w:val="52"/>
          <w:lang w:val="fr-CA"/>
        </w:rPr>
      </w:pPr>
    </w:p>
    <w:p w14:paraId="49E2B38B" w14:textId="77777777" w:rsidR="00B361E0" w:rsidRPr="007E02A9" w:rsidRDefault="00B361E0">
      <w:pPr>
        <w:pStyle w:val="BodyText"/>
        <w:rPr>
          <w:rFonts w:ascii="Times New Roman"/>
          <w:sz w:val="52"/>
          <w:lang w:val="fr-CA"/>
        </w:rPr>
      </w:pPr>
    </w:p>
    <w:p w14:paraId="190EC167" w14:textId="77777777" w:rsidR="00B361E0" w:rsidRPr="007E02A9" w:rsidRDefault="00B361E0">
      <w:pPr>
        <w:pStyle w:val="BodyText"/>
        <w:rPr>
          <w:rFonts w:ascii="Times New Roman"/>
          <w:sz w:val="52"/>
          <w:lang w:val="fr-CA"/>
        </w:rPr>
      </w:pPr>
    </w:p>
    <w:p w14:paraId="661E4117" w14:textId="77777777" w:rsidR="00B361E0" w:rsidRPr="007E02A9" w:rsidRDefault="00B361E0">
      <w:pPr>
        <w:pStyle w:val="BodyText"/>
        <w:rPr>
          <w:rFonts w:ascii="Times New Roman"/>
          <w:sz w:val="52"/>
          <w:lang w:val="fr-CA"/>
        </w:rPr>
      </w:pPr>
    </w:p>
    <w:p w14:paraId="31B403CC" w14:textId="77777777" w:rsidR="00B361E0" w:rsidRPr="007E02A9" w:rsidRDefault="00B361E0">
      <w:pPr>
        <w:pStyle w:val="BodyText"/>
        <w:spacing w:before="448"/>
        <w:rPr>
          <w:rFonts w:ascii="Times New Roman"/>
          <w:sz w:val="52"/>
          <w:lang w:val="fr-CA"/>
        </w:rPr>
      </w:pPr>
    </w:p>
    <w:p w14:paraId="620266EC" w14:textId="77777777" w:rsidR="00B361E0" w:rsidRPr="007E02A9" w:rsidRDefault="007E02A9">
      <w:pPr>
        <w:pStyle w:val="Title"/>
        <w:rPr>
          <w:lang w:val="fr-CA"/>
        </w:rPr>
      </w:pPr>
      <w:r w:rsidRPr="007E02A9">
        <w:rPr>
          <w:noProof/>
          <w:lang w:val="fr-CA"/>
        </w:rPr>
        <mc:AlternateContent>
          <mc:Choice Requires="wpg">
            <w:drawing>
              <wp:anchor distT="0" distB="0" distL="0" distR="0" simplePos="0" relativeHeight="251655168" behindDoc="0" locked="0" layoutInCell="1" allowOverlap="1" wp14:anchorId="1DC4A1A1" wp14:editId="1B79632D">
                <wp:simplePos x="0" y="0"/>
                <wp:positionH relativeFrom="page">
                  <wp:posOffset>2632075</wp:posOffset>
                </wp:positionH>
                <wp:positionV relativeFrom="paragraph">
                  <wp:posOffset>-217523</wp:posOffset>
                </wp:positionV>
                <wp:extent cx="6350" cy="3220720"/>
                <wp:effectExtent l="0" t="0" r="0" b="0"/>
                <wp:wrapNone/>
                <wp:docPr id="1" name="Group 1"/>
                <wp:cNvGraphicFramePr/>
                <a:graphic xmlns:a="http://schemas.openxmlformats.org/drawingml/2006/main">
                  <a:graphicData uri="http://schemas.microsoft.com/office/word/2010/wordprocessingGroup">
                    <wpg:wgp>
                      <wpg:cNvGrpSpPr/>
                      <wpg:grpSpPr>
                        <a:xfrm>
                          <a:off x="0" y="0"/>
                          <a:ext cx="6350" cy="3220720"/>
                          <a:chOff x="0" y="0"/>
                          <a:chExt cx="6350" cy="3220720"/>
                        </a:xfrm>
                      </wpg:grpSpPr>
                      <wps:wsp>
                        <wps:cNvPr id="2" name="Graphic 2"/>
                        <wps:cNvSpPr/>
                        <wps:spPr>
                          <a:xfrm>
                            <a:off x="3175" y="20320"/>
                            <a:ext cx="1270" cy="3200400"/>
                          </a:xfrm>
                          <a:custGeom>
                            <a:avLst/>
                            <a:gdLst/>
                            <a:ahLst/>
                            <a:cxnLst/>
                            <a:rect l="l" t="t" r="r" b="b"/>
                            <a:pathLst>
                              <a:path h="3200400">
                                <a:moveTo>
                                  <a:pt x="0" y="0"/>
                                </a:moveTo>
                                <a:lnTo>
                                  <a:pt x="0" y="3200400"/>
                                </a:lnTo>
                              </a:path>
                            </a:pathLst>
                          </a:custGeom>
                          <a:ln w="6350">
                            <a:solidFill>
                              <a:srgbClr val="808080"/>
                            </a:solidFill>
                            <a:prstDash val="solid"/>
                          </a:ln>
                        </wps:spPr>
                        <wps:bodyPr wrap="square" lIns="0" tIns="0" rIns="0" bIns="0" rtlCol="0">
                          <a:prstTxWarp prst="textNoShape">
                            <a:avLst/>
                          </a:prstTxWarp>
                        </wps:bodyPr>
                      </wps:wsp>
                      <wps:wsp>
                        <wps:cNvPr id="3" name="Graphic 3"/>
                        <wps:cNvSpPr/>
                        <wps:spPr>
                          <a:xfrm>
                            <a:off x="3175" y="0"/>
                            <a:ext cx="1270" cy="3200400"/>
                          </a:xfrm>
                          <a:custGeom>
                            <a:avLst/>
                            <a:gdLst/>
                            <a:ahLst/>
                            <a:cxnLst/>
                            <a:rect l="l" t="t" r="r" b="b"/>
                            <a:pathLst>
                              <a:path h="3200400">
                                <a:moveTo>
                                  <a:pt x="0" y="0"/>
                                </a:moveTo>
                                <a:lnTo>
                                  <a:pt x="0" y="3200400"/>
                                </a:lnTo>
                              </a:path>
                            </a:pathLst>
                          </a:custGeom>
                          <a:ln w="6350">
                            <a:solidFill>
                              <a:srgbClr val="4F81BB"/>
                            </a:solidFill>
                            <a:prstDash val="solid"/>
                          </a:ln>
                        </wps:spPr>
                        <wps:bodyPr wrap="square" lIns="0" tIns="0" rIns="0" bIns="0" rtlCol="0">
                          <a:prstTxWarp prst="textNoShape">
                            <a:avLst/>
                          </a:prstTxWarp>
                        </wps:bodyPr>
                      </wps:wsp>
                    </wpg:wgp>
                  </a:graphicData>
                </a:graphic>
              </wp:anchor>
            </w:drawing>
          </mc:Choice>
          <mc:Fallback>
            <w:pict>
              <v:group w14:anchorId="62910D7C" id="Group 1" o:spid="_x0000_s1026" style="position:absolute;margin-left:207.25pt;margin-top:-17.15pt;width:.5pt;height:253.6pt;z-index:251655168;mso-wrap-distance-left:0;mso-wrap-distance-right:0;mso-position-horizontal-relative:page" coordsize="63,32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tsiwIAAFQIAAAOAAAAZHJzL2Uyb0RvYy54bWzsVkuL2zAQvhf6H4TujR1nH8HEWdhNdymU&#10;7cKm9KzI8gNkSR0pcfLvO5If2SalhxR6KCWgjEajeXzzSfLibt9IshNga60yOp3ElAjFdV6rMqNf&#10;148f5pRYx1TOpFYiowdh6d3y/btFa1KR6ErLXABBJ8qmrclo5ZxJo8jySjTMTrQRChcLDQ1zOIUy&#10;yoG16L2RURLHN1GrITegubAWtatukS6D/6IQ3H0pCisckRnF3FwYIYwbP0bLBUtLYKaqeZ8GuyCL&#10;htUKg46uVswxsoX6zFVTc9BWF27CdRPpoqi5CDVgNdP4pJon0FsTainTtjQjTAjtCU4Xu+XPuxcg&#10;dY69o0SxBlsUopKph6Y1ZYoWT2BezQv0irKb+Wr3BTT+H+sg+wDqYQRV7B3hqLyZXSPwHBdmSRLf&#10;Jj3mvMLGnG3i1cffbYuGkJHPbEykNUgee8TH/hk+rxUzIsBuffU9PskRn44tSYdQsBnhsalFpH6B&#10;zWx6e00JopDEswGDAaJpcjtCFMdXcYBorJWlfGvdk9ABarb7bF3H2nyQWDVIfK8GEZD7nvUysN5R&#10;gqwHSpD1m471hjm/z+fqRVL5DnXhva7RO7HWYdWd9AlTO65KdW41+ME80bazQMGHCZoxNCrfFicV&#10;aXvG+MBWyzp/rKUMEyg3DxLIjmFR89j/fB3o4SczA9atmK06u7DUm0mF1p4qXYe8tNH5Advb4vnP&#10;qP2+ZSAokZ8UEshfFoMAg7AZBHDyQYcrJQCEMdf7bwwM8eEz6rCzz3rgEUuHpnkMRts+my6HfoIs&#10;9qfuL9B5dkrn2WV07o/zfypfSuWrx/n0/v4fpXK4p/HpCue0f2b92/h2Hqh//BhY/gAAAP//AwBQ&#10;SwMEFAAGAAgAAAAhAAK6XAHiAAAACwEAAA8AAABkcnMvZG93bnJldi54bWxMj8tOwzAQRfdI/IM1&#10;SOxax00CJcSpqgpYVZVokSp2bjxNosZ2FLtJ+vcMK9jN4+jOmXw1mZYN2PvGWQliHgFDWzrd2ErC&#10;1+F9tgTmg7Jatc6ihBt6WBX3d7nKtBvtJw77UDEKsT5TEuoQuoxzX9ZolJ+7Di3tzq43KlDbV1z3&#10;aqRw0/JFFD1xoxpLF2rV4abG8rK/GgkfoxrXsXgbtpfz5vZ9SHfHrUApHx+m9SuwgFP4g+FXn9Sh&#10;IKeTu1rtWSshEUlKqIRZnMTAiEhESpMTFc+LF+BFzv//UPwAAAD//wMAUEsBAi0AFAAGAAgAAAAh&#10;ALaDOJL+AAAA4QEAABMAAAAAAAAAAAAAAAAAAAAAAFtDb250ZW50X1R5cGVzXS54bWxQSwECLQAU&#10;AAYACAAAACEAOP0h/9YAAACUAQAACwAAAAAAAAAAAAAAAAAvAQAAX3JlbHMvLnJlbHNQSwECLQAU&#10;AAYACAAAACEAb3ibbIsCAABUCAAADgAAAAAAAAAAAAAAAAAuAgAAZHJzL2Uyb0RvYy54bWxQSwEC&#10;LQAUAAYACAAAACEAArpcAeIAAAALAQAADwAAAAAAAAAAAAAAAADlBAAAZHJzL2Rvd25yZXYueG1s&#10;UEsFBgAAAAAEAAQA8wAAAPQFAAAAAA==&#10;">
                <v:shape id="Graphic 2" o:spid="_x0000_s1027" style="position:absolute;left:31;top:203;width:13;height:32004;visibility:visible;mso-wrap-style:square;v-text-anchor:top" coordsize="127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Ge+wAAAANoAAAAPAAAAZHJzL2Rvd25yZXYueG1sRI9Bi8Iw&#10;FITvC/6H8IS9rak9LNI1igiCeBG7/QGP5m1abV5CEzX992ZhYY/DzHzDrLfJDuJBY+gdK1guChDE&#10;rdM9GwXN9+FjBSJEZI2DY1IwUYDtZva2xkq7J1/oUUcjMoRDhQq6GH0lZWg7shgWzhNn78eNFmOW&#10;o5F6xGeG20GWRfEpLfacFzr0tO+ovdV3q8DZhCuTrvXJt1PTlKE/ezMp9T5Puy8QkVL8D/+1j1pB&#10;Cb9X8g2QmxcAAAD//wMAUEsBAi0AFAAGAAgAAAAhANvh9svuAAAAhQEAABMAAAAAAAAAAAAAAAAA&#10;AAAAAFtDb250ZW50X1R5cGVzXS54bWxQSwECLQAUAAYACAAAACEAWvQsW78AAAAVAQAACwAAAAAA&#10;AAAAAAAAAAAfAQAAX3JlbHMvLnJlbHNQSwECLQAUAAYACAAAACEAGeBnvsAAAADaAAAADwAAAAAA&#10;AAAAAAAAAAAHAgAAZHJzL2Rvd25yZXYueG1sUEsFBgAAAAADAAMAtwAAAPQCAAAAAA==&#10;" path="m,l,3200400e" filled="f" strokecolor="gray" strokeweight=".5pt">
                  <v:path arrowok="t"/>
                </v:shape>
                <v:shape id="Graphic 3" o:spid="_x0000_s1028" style="position:absolute;left:31;width:13;height:32004;visibility:visible;mso-wrap-style:square;v-text-anchor:top" coordsize="127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pcPwgAAANoAAAAPAAAAZHJzL2Rvd25yZXYueG1sRI9Ba8JA&#10;FITvgv9heUJvurFCkTQbWUXBFioY6/2RfU1Cs29DdhvTf98tCB6HmfmGyTajbcVAvW8cK1guEhDE&#10;pTMNVwo+L4f5GoQPyAZbx6Tglzxs8ukkw9S4G59pKEIlIoR9igrqELpUSl/WZNEvXEccvS/XWwxR&#10;9pU0Pd4i3LbyOUlepMWG40KNHe1qKr+LH6vgdH07XIcPo9/3RbW9bI3e6VIr9TQb9SuIQGN4hO/t&#10;o1Gwgv8r8QbI/A8AAP//AwBQSwECLQAUAAYACAAAACEA2+H2y+4AAACFAQAAEwAAAAAAAAAAAAAA&#10;AAAAAAAAW0NvbnRlbnRfVHlwZXNdLnhtbFBLAQItABQABgAIAAAAIQBa9CxbvwAAABUBAAALAAAA&#10;AAAAAAAAAAAAAB8BAABfcmVscy8ucmVsc1BLAQItABQABgAIAAAAIQBU1pcPwgAAANoAAAAPAAAA&#10;AAAAAAAAAAAAAAcCAABkcnMvZG93bnJldi54bWxQSwUGAAAAAAMAAwC3AAAA9gIAAAAA&#10;" path="m,l,3200400e" filled="f" strokecolor="#4f81bb" strokeweight=".5pt">
                  <v:path arrowok="t"/>
                </v:shape>
                <w10:wrap anchorx="page"/>
              </v:group>
            </w:pict>
          </mc:Fallback>
        </mc:AlternateContent>
      </w:r>
      <w:r w:rsidRPr="007E02A9">
        <w:rPr>
          <w:spacing w:val="-2"/>
          <w:lang w:val="fr-CA"/>
        </w:rPr>
        <w:t>Atténuation du risque accru de Legionella dans les bâtiments inoccupés</w:t>
      </w:r>
    </w:p>
    <w:p w14:paraId="11336652" w14:textId="77777777" w:rsidR="00B361E0" w:rsidRPr="007E02A9" w:rsidRDefault="00B361E0">
      <w:pPr>
        <w:pStyle w:val="BodyText"/>
        <w:rPr>
          <w:sz w:val="20"/>
          <w:lang w:val="fr-CA"/>
        </w:rPr>
      </w:pPr>
    </w:p>
    <w:p w14:paraId="7BE9118E" w14:textId="77777777" w:rsidR="00B361E0" w:rsidRPr="007E02A9" w:rsidRDefault="00B361E0">
      <w:pPr>
        <w:pStyle w:val="BodyText"/>
        <w:rPr>
          <w:sz w:val="20"/>
          <w:lang w:val="fr-CA"/>
        </w:rPr>
      </w:pPr>
    </w:p>
    <w:p w14:paraId="37537683" w14:textId="77777777" w:rsidR="00B361E0" w:rsidRPr="007E02A9" w:rsidRDefault="00B361E0">
      <w:pPr>
        <w:pStyle w:val="BodyText"/>
        <w:rPr>
          <w:sz w:val="20"/>
          <w:lang w:val="fr-CA"/>
        </w:rPr>
      </w:pPr>
    </w:p>
    <w:p w14:paraId="17F6583C" w14:textId="77777777" w:rsidR="00B361E0" w:rsidRPr="007E02A9" w:rsidRDefault="00B361E0">
      <w:pPr>
        <w:pStyle w:val="BodyText"/>
        <w:rPr>
          <w:sz w:val="20"/>
          <w:lang w:val="fr-CA"/>
        </w:rPr>
      </w:pPr>
    </w:p>
    <w:p w14:paraId="60A3A4B3" w14:textId="77777777" w:rsidR="00B361E0" w:rsidRPr="007E02A9" w:rsidRDefault="00B361E0">
      <w:pPr>
        <w:pStyle w:val="BodyText"/>
        <w:rPr>
          <w:sz w:val="20"/>
          <w:lang w:val="fr-CA"/>
        </w:rPr>
      </w:pPr>
    </w:p>
    <w:p w14:paraId="00F25BFF" w14:textId="77777777" w:rsidR="00B361E0" w:rsidRPr="007E02A9" w:rsidRDefault="00B361E0">
      <w:pPr>
        <w:pStyle w:val="BodyText"/>
        <w:rPr>
          <w:sz w:val="20"/>
          <w:lang w:val="fr-CA"/>
        </w:rPr>
      </w:pPr>
    </w:p>
    <w:p w14:paraId="6CBFE780" w14:textId="77777777" w:rsidR="00B361E0" w:rsidRPr="007E02A9" w:rsidRDefault="00B361E0">
      <w:pPr>
        <w:pStyle w:val="BodyText"/>
        <w:rPr>
          <w:sz w:val="20"/>
          <w:lang w:val="fr-CA"/>
        </w:rPr>
      </w:pPr>
    </w:p>
    <w:p w14:paraId="19211D9A" w14:textId="77777777" w:rsidR="00B361E0" w:rsidRPr="007E02A9" w:rsidRDefault="00B361E0">
      <w:pPr>
        <w:pStyle w:val="BodyText"/>
        <w:rPr>
          <w:sz w:val="20"/>
          <w:lang w:val="fr-CA"/>
        </w:rPr>
      </w:pPr>
    </w:p>
    <w:p w14:paraId="267964F4" w14:textId="77777777" w:rsidR="00B361E0" w:rsidRPr="007E02A9" w:rsidRDefault="00B361E0">
      <w:pPr>
        <w:pStyle w:val="BodyText"/>
        <w:rPr>
          <w:sz w:val="20"/>
          <w:lang w:val="fr-CA"/>
        </w:rPr>
      </w:pPr>
    </w:p>
    <w:p w14:paraId="1A22AD79" w14:textId="77777777" w:rsidR="00B361E0" w:rsidRPr="007E02A9" w:rsidRDefault="00B361E0">
      <w:pPr>
        <w:pStyle w:val="BodyText"/>
        <w:rPr>
          <w:sz w:val="20"/>
          <w:lang w:val="fr-CA"/>
        </w:rPr>
      </w:pPr>
    </w:p>
    <w:p w14:paraId="3F65C3B6" w14:textId="77777777" w:rsidR="00B361E0" w:rsidRPr="007E02A9" w:rsidRDefault="00B361E0">
      <w:pPr>
        <w:pStyle w:val="BodyText"/>
        <w:rPr>
          <w:sz w:val="20"/>
          <w:lang w:val="fr-CA"/>
        </w:rPr>
      </w:pPr>
    </w:p>
    <w:p w14:paraId="3E120545" w14:textId="77777777" w:rsidR="00B361E0" w:rsidRPr="007E02A9" w:rsidRDefault="00B361E0">
      <w:pPr>
        <w:pStyle w:val="BodyText"/>
        <w:rPr>
          <w:sz w:val="20"/>
          <w:lang w:val="fr-CA"/>
        </w:rPr>
      </w:pPr>
    </w:p>
    <w:p w14:paraId="5460EDF9" w14:textId="77777777" w:rsidR="00B361E0" w:rsidRPr="007E02A9" w:rsidRDefault="00B361E0">
      <w:pPr>
        <w:pStyle w:val="BodyText"/>
        <w:rPr>
          <w:sz w:val="20"/>
          <w:lang w:val="fr-CA"/>
        </w:rPr>
      </w:pPr>
    </w:p>
    <w:p w14:paraId="2596555B" w14:textId="77777777" w:rsidR="00B361E0" w:rsidRPr="007E02A9" w:rsidRDefault="00B361E0">
      <w:pPr>
        <w:pStyle w:val="BodyText"/>
        <w:rPr>
          <w:sz w:val="20"/>
          <w:lang w:val="fr-CA"/>
        </w:rPr>
      </w:pPr>
    </w:p>
    <w:p w14:paraId="13554D1E" w14:textId="77777777" w:rsidR="00B361E0" w:rsidRPr="007E02A9" w:rsidRDefault="00B361E0">
      <w:pPr>
        <w:pStyle w:val="BodyText"/>
        <w:rPr>
          <w:sz w:val="20"/>
          <w:lang w:val="fr-CA"/>
        </w:rPr>
      </w:pPr>
    </w:p>
    <w:p w14:paraId="4A7C2F32" w14:textId="77777777" w:rsidR="00B361E0" w:rsidRPr="007E02A9" w:rsidRDefault="00B361E0">
      <w:pPr>
        <w:pStyle w:val="BodyText"/>
        <w:rPr>
          <w:sz w:val="20"/>
          <w:lang w:val="fr-CA"/>
        </w:rPr>
      </w:pPr>
    </w:p>
    <w:p w14:paraId="192B6CF4" w14:textId="77777777" w:rsidR="00B361E0" w:rsidRPr="007E02A9" w:rsidRDefault="00B361E0">
      <w:pPr>
        <w:pStyle w:val="BodyText"/>
        <w:rPr>
          <w:sz w:val="20"/>
          <w:lang w:val="fr-CA"/>
        </w:rPr>
      </w:pPr>
    </w:p>
    <w:p w14:paraId="31FF93AD" w14:textId="77777777" w:rsidR="00B361E0" w:rsidRPr="007E02A9" w:rsidRDefault="00B361E0">
      <w:pPr>
        <w:pStyle w:val="BodyText"/>
        <w:rPr>
          <w:sz w:val="20"/>
          <w:lang w:val="fr-CA"/>
        </w:rPr>
      </w:pPr>
    </w:p>
    <w:p w14:paraId="34D10ED1" w14:textId="77777777" w:rsidR="00B361E0" w:rsidRPr="007E02A9" w:rsidRDefault="00B361E0">
      <w:pPr>
        <w:pStyle w:val="BodyText"/>
        <w:rPr>
          <w:sz w:val="20"/>
          <w:lang w:val="fr-CA"/>
        </w:rPr>
      </w:pPr>
    </w:p>
    <w:p w14:paraId="53323FE4" w14:textId="77777777" w:rsidR="00B361E0" w:rsidRPr="007E02A9" w:rsidRDefault="00B361E0">
      <w:pPr>
        <w:pStyle w:val="BodyText"/>
        <w:rPr>
          <w:sz w:val="20"/>
          <w:lang w:val="fr-CA"/>
        </w:rPr>
      </w:pPr>
    </w:p>
    <w:p w14:paraId="49C9F11C" w14:textId="77777777" w:rsidR="00B361E0" w:rsidRPr="007E02A9" w:rsidRDefault="00B361E0">
      <w:pPr>
        <w:pStyle w:val="BodyText"/>
        <w:rPr>
          <w:sz w:val="20"/>
          <w:lang w:val="fr-CA"/>
        </w:rPr>
      </w:pPr>
    </w:p>
    <w:p w14:paraId="63338C7F" w14:textId="77777777" w:rsidR="00B361E0" w:rsidRPr="007E02A9" w:rsidRDefault="007E02A9">
      <w:pPr>
        <w:pStyle w:val="BodyText"/>
        <w:spacing w:before="128"/>
        <w:rPr>
          <w:sz w:val="20"/>
          <w:lang w:val="fr-CA"/>
        </w:rPr>
      </w:pPr>
      <w:r w:rsidRPr="007E02A9">
        <w:rPr>
          <w:noProof/>
          <w:lang w:val="fr-CA"/>
        </w:rPr>
        <w:drawing>
          <wp:anchor distT="0" distB="0" distL="0" distR="0" simplePos="0" relativeHeight="251659264" behindDoc="1" locked="0" layoutInCell="1" allowOverlap="1" wp14:anchorId="1ADE65FB" wp14:editId="60FAFD3D">
            <wp:simplePos x="0" y="0"/>
            <wp:positionH relativeFrom="page">
              <wp:posOffset>5298757</wp:posOffset>
            </wp:positionH>
            <wp:positionV relativeFrom="paragraph">
              <wp:posOffset>242557</wp:posOffset>
            </wp:positionV>
            <wp:extent cx="2085045" cy="405384"/>
            <wp:effectExtent l="0" t="0" r="0" b="0"/>
            <wp:wrapTopAndBottom/>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2085045" cy="405384"/>
                    </a:xfrm>
                    <a:prstGeom prst="rect">
                      <a:avLst/>
                    </a:prstGeom>
                  </pic:spPr>
                </pic:pic>
              </a:graphicData>
            </a:graphic>
          </wp:anchor>
        </w:drawing>
      </w:r>
    </w:p>
    <w:p w14:paraId="4BA1CF5C" w14:textId="77777777" w:rsidR="00B361E0" w:rsidRPr="007E02A9" w:rsidRDefault="00B361E0">
      <w:pPr>
        <w:rPr>
          <w:sz w:val="20"/>
          <w:lang w:val="fr-CA"/>
        </w:rPr>
        <w:sectPr w:rsidR="00B361E0" w:rsidRPr="007E02A9">
          <w:type w:val="continuous"/>
          <w:pgSz w:w="12240" w:h="15840"/>
          <w:pgMar w:top="1820" w:right="440" w:bottom="280" w:left="600" w:header="720" w:footer="720" w:gutter="0"/>
          <w:cols w:space="720"/>
        </w:sectPr>
      </w:pPr>
    </w:p>
    <w:p w14:paraId="199CD37E" w14:textId="77777777" w:rsidR="00B361E0" w:rsidRPr="007E02A9" w:rsidRDefault="007E02A9">
      <w:pPr>
        <w:pStyle w:val="BodyText"/>
        <w:spacing w:before="71"/>
        <w:ind w:left="840" w:right="1760"/>
        <w:rPr>
          <w:lang w:val="fr-CA"/>
        </w:rPr>
      </w:pPr>
      <w:r w:rsidRPr="007E02A9">
        <w:rPr>
          <w:lang w:val="fr-CA"/>
        </w:rPr>
        <w:lastRenderedPageBreak/>
        <w:t xml:space="preserve">On dit que le plombier protège la santé de la nation, ce qui est particulièrement pertinent en ce moment, car de nombreux bâtiments sont </w:t>
      </w:r>
      <w:r w:rsidRPr="007E02A9">
        <w:rPr>
          <w:lang w:val="fr-CA"/>
        </w:rPr>
        <w:t>vacants ou sous-occupés. Or, lorsque les bâtiments sont vides ou inoccupés, l’eau ne coule pas. Et lorsque l’eau ne coule pas, elle devient stagnante. Les zones de stagnation qui en résultent favorisent la croissance d’un biofilm, réduisent les température</w:t>
      </w:r>
      <w:r w:rsidRPr="007E02A9">
        <w:rPr>
          <w:lang w:val="fr-CA"/>
        </w:rPr>
        <w:t>s de l’eau à des niveaux qui favorisent la prolifération des légionelles et réduisent les niveaux de désinfectant.</w:t>
      </w:r>
    </w:p>
    <w:p w14:paraId="306A3ECC" w14:textId="77777777" w:rsidR="00B361E0" w:rsidRPr="007E02A9" w:rsidRDefault="00B361E0">
      <w:pPr>
        <w:pStyle w:val="BodyText"/>
        <w:spacing w:before="185"/>
        <w:rPr>
          <w:lang w:val="fr-CA"/>
        </w:rPr>
      </w:pPr>
    </w:p>
    <w:p w14:paraId="76F7F086" w14:textId="77777777" w:rsidR="00B361E0" w:rsidRPr="007E02A9" w:rsidRDefault="007E02A9">
      <w:pPr>
        <w:pStyle w:val="BodyText"/>
        <w:ind w:left="840" w:right="1760"/>
        <w:rPr>
          <w:lang w:val="fr-CA"/>
        </w:rPr>
      </w:pPr>
      <w:r w:rsidRPr="007E02A9">
        <w:rPr>
          <w:lang w:val="fr-CA"/>
        </w:rPr>
        <w:t>Un biofilm est constitué d’une couche de microorganismes qui adhèrent les uns aux autres et de matériaux qui les entourent, créant une couch</w:t>
      </w:r>
      <w:r w:rsidRPr="007E02A9">
        <w:rPr>
          <w:lang w:val="fr-CA"/>
        </w:rPr>
        <w:t>e protectrice qui protège les bactéries qui vivent à l’intérieur. Les biofilms aiment se fixer aux surfaces dures comme les tuyaux et peuvent être difficiles à enlever une fois fixés. Ils créent des dangers pour la santé parce qu’ils servent de cachettes e</w:t>
      </w:r>
      <w:r w:rsidRPr="007E02A9">
        <w:rPr>
          <w:lang w:val="fr-CA"/>
        </w:rPr>
        <w:t>t de zones de reproduction idéales pour les légionelles et d’autres bactéries qui flottent, survivent et prolifèrent dans le biofilm des systèmes de plomberie des locaux.</w:t>
      </w:r>
    </w:p>
    <w:p w14:paraId="20D32B69" w14:textId="77777777" w:rsidR="00B361E0" w:rsidRPr="007E02A9" w:rsidRDefault="00B361E0">
      <w:pPr>
        <w:pStyle w:val="BodyText"/>
        <w:spacing w:before="183"/>
        <w:rPr>
          <w:lang w:val="fr-CA"/>
        </w:rPr>
      </w:pPr>
    </w:p>
    <w:p w14:paraId="60350FD1" w14:textId="77777777" w:rsidR="00B361E0" w:rsidRPr="007E02A9" w:rsidRDefault="007E02A9">
      <w:pPr>
        <w:pStyle w:val="BodyText"/>
        <w:ind w:left="840" w:right="1743"/>
        <w:rPr>
          <w:lang w:val="fr-CA"/>
        </w:rPr>
      </w:pPr>
      <w:r w:rsidRPr="007E02A9">
        <w:rPr>
          <w:lang w:val="fr-CA"/>
        </w:rPr>
        <w:t>En plus de permettre la formation de biofilms, de longues périodes d’inoccupation pe</w:t>
      </w:r>
      <w:r w:rsidRPr="007E02A9">
        <w:rPr>
          <w:lang w:val="fr-CA"/>
        </w:rPr>
        <w:t>uvent également modifier la température de l’eau. Au fil du temps, le risque de prolifération des légionelles augmente, car l’eau froide a tendance à se réchauffer et l’eau chaude, à se refroidir. La plage de température normale pour la croissance de la ba</w:t>
      </w:r>
      <w:r w:rsidRPr="007E02A9">
        <w:rPr>
          <w:lang w:val="fr-CA"/>
        </w:rPr>
        <w:t>ctérie Legionella se situe entre 68 °F et 122 °F, les températures optimales pour la croissance étant de 95 °F à 115 °F. La légionelle commence à mourir au-dessus de 122 °F et meurt plus rapidement à mesure que la température augmente. Lorsque les températ</w:t>
      </w:r>
      <w:r w:rsidRPr="007E02A9">
        <w:rPr>
          <w:lang w:val="fr-CA"/>
        </w:rPr>
        <w:t>ures chutent sous 68 °F, la bactérie devient dormante.</w:t>
      </w:r>
    </w:p>
    <w:p w14:paraId="6EACB95D" w14:textId="77777777" w:rsidR="00B361E0" w:rsidRPr="007E02A9" w:rsidRDefault="00B361E0">
      <w:pPr>
        <w:pStyle w:val="BodyText"/>
        <w:spacing w:before="185"/>
        <w:rPr>
          <w:lang w:val="fr-CA"/>
        </w:rPr>
      </w:pPr>
    </w:p>
    <w:p w14:paraId="735008F6" w14:textId="77777777" w:rsidR="00B361E0" w:rsidRPr="007E02A9" w:rsidRDefault="007E02A9">
      <w:pPr>
        <w:pStyle w:val="BodyText"/>
        <w:ind w:left="840" w:right="1788"/>
        <w:rPr>
          <w:lang w:val="fr-CA"/>
        </w:rPr>
      </w:pPr>
      <w:r w:rsidRPr="007E02A9">
        <w:rPr>
          <w:lang w:val="fr-CA"/>
        </w:rPr>
        <w:t xml:space="preserve">Le risque de Legionella augmente s’il y a des tronçons morts dans le système de plomberie du bâtiment. Par définition, les tronçons morts sont des sections de tuyauterie d’eau potable des locaux sans </w:t>
      </w:r>
      <w:r w:rsidRPr="007E02A9">
        <w:rPr>
          <w:lang w:val="fr-CA"/>
        </w:rPr>
        <w:t xml:space="preserve">débit ou à faible débit, en raison de la conception et/ou du fonctionnement du système. Les tronçons morts sont généralement le résultat d’une section altérée, abandonnée, plafonnée ou simplement oubliée. Ils peuvent comprendre des conduites de dérivation </w:t>
      </w:r>
      <w:r w:rsidRPr="007E02A9">
        <w:rPr>
          <w:lang w:val="fr-CA"/>
        </w:rPr>
        <w:t>isolées, des sections de tuyaux avec des vannes fermées, des tuyaux avec un capuchon d’extrémité, des raccords transversaux fermés et toute vanne fermée connectée à une installation, un appareil ou un équipement.</w:t>
      </w:r>
    </w:p>
    <w:p w14:paraId="6074C006" w14:textId="77777777" w:rsidR="00B361E0" w:rsidRPr="007E02A9" w:rsidRDefault="00B361E0">
      <w:pPr>
        <w:pStyle w:val="BodyText"/>
        <w:spacing w:before="182"/>
        <w:rPr>
          <w:lang w:val="fr-CA"/>
        </w:rPr>
      </w:pPr>
    </w:p>
    <w:p w14:paraId="79F78D5A" w14:textId="77777777" w:rsidR="00B361E0" w:rsidRPr="007E02A9" w:rsidRDefault="007E02A9">
      <w:pPr>
        <w:pStyle w:val="BodyText"/>
        <w:ind w:left="840" w:right="1760"/>
        <w:rPr>
          <w:lang w:val="fr-CA"/>
        </w:rPr>
      </w:pPr>
      <w:r w:rsidRPr="007E02A9">
        <w:rPr>
          <w:lang w:val="fr-CA"/>
        </w:rPr>
        <w:t>Comment les tronçons morts se produisent-i</w:t>
      </w:r>
      <w:r w:rsidRPr="007E02A9">
        <w:rPr>
          <w:lang w:val="fr-CA"/>
        </w:rPr>
        <w:t>ls? Même avec les meilleures intentions, les rénovations et les refontes peuvent entraîner l’abandon d’une partie de la tuyauterie. En fait, des tronçons morts peuvent même être installés intentionnellement lors de la planification à l’avance d’une expansi</w:t>
      </w:r>
      <w:r w:rsidRPr="007E02A9">
        <w:rPr>
          <w:lang w:val="fr-CA"/>
        </w:rPr>
        <w:t>on future. Ils peuvent offrir des options supplémentaires pour les constructions futures et les besoins imprévus. Un tronçon mort peut également être le résultat d’une aile ou d’un étage vacant qui n’est pas actuellement utilisé.</w:t>
      </w:r>
    </w:p>
    <w:p w14:paraId="28F6BA78" w14:textId="0D4E100D" w:rsidR="007E02A9" w:rsidRPr="007E02A9" w:rsidRDefault="007E02A9">
      <w:pPr>
        <w:rPr>
          <w:sz w:val="24"/>
          <w:szCs w:val="24"/>
          <w:lang w:val="fr-CA"/>
        </w:rPr>
      </w:pPr>
      <w:r w:rsidRPr="007E02A9">
        <w:rPr>
          <w:lang w:val="fr-CA"/>
        </w:rPr>
        <w:br w:type="page"/>
      </w:r>
    </w:p>
    <w:p w14:paraId="1C5C6257" w14:textId="77777777" w:rsidR="00B361E0" w:rsidRPr="007E02A9" w:rsidRDefault="007E02A9">
      <w:pPr>
        <w:pStyle w:val="BodyText"/>
        <w:ind w:left="840" w:right="1760"/>
        <w:rPr>
          <w:lang w:val="fr-CA"/>
        </w:rPr>
      </w:pPr>
      <w:r w:rsidRPr="007E02A9">
        <w:rPr>
          <w:lang w:val="fr-CA"/>
        </w:rPr>
        <w:lastRenderedPageBreak/>
        <w:t>Quelles sont les conséque</w:t>
      </w:r>
      <w:r w:rsidRPr="007E02A9">
        <w:rPr>
          <w:lang w:val="fr-CA"/>
        </w:rPr>
        <w:t>nces des tronçons morts? Les tronçons morts sans débit ou à faible débit contribuent à l’accumulation d’eau stagnante et de biofilm. Bien que le biofilm puisse commencer à une échelle minuscule, il peut croître de façon exponentielle et constitue un excell</w:t>
      </w:r>
      <w:r w:rsidRPr="007E02A9">
        <w:rPr>
          <w:lang w:val="fr-CA"/>
        </w:rPr>
        <w:t>ent environnement pour que la Legionella et d’autres bactéries se cachent et prospèrent. Qu’ils soient causés par l’absence de débit, le faible débit ou la stagnation, les résultats finaux les plus courants du biofilm sont la corrosion, la réduction de tem</w:t>
      </w:r>
      <w:r w:rsidRPr="007E02A9">
        <w:rPr>
          <w:lang w:val="fr-CA"/>
        </w:rPr>
        <w:t>pérature, l’obstruction et l’efficacité réduite d’autres solutions d’atténuation des risques de Legionella comme la désinfection.</w:t>
      </w:r>
    </w:p>
    <w:p w14:paraId="4A614386" w14:textId="77777777" w:rsidR="00761432" w:rsidRPr="007E02A9" w:rsidRDefault="00761432">
      <w:pPr>
        <w:pStyle w:val="BodyText"/>
        <w:spacing w:before="80"/>
        <w:ind w:left="840" w:right="1760"/>
        <w:rPr>
          <w:lang w:val="fr-CA"/>
        </w:rPr>
      </w:pPr>
    </w:p>
    <w:p w14:paraId="5EDB9576" w14:textId="2FE39F41" w:rsidR="00B361E0" w:rsidRPr="007E02A9" w:rsidRDefault="007E02A9">
      <w:pPr>
        <w:pStyle w:val="BodyText"/>
        <w:spacing w:before="80"/>
        <w:ind w:left="840" w:right="1760"/>
        <w:rPr>
          <w:lang w:val="fr-CA"/>
        </w:rPr>
      </w:pPr>
      <w:r w:rsidRPr="007E02A9">
        <w:rPr>
          <w:lang w:val="fr-CA"/>
        </w:rPr>
        <w:t xml:space="preserve">Avant que les occupants ne retournent dans un bâtiment vacant, il existe un certain nombre d’activités qui peuvent </w:t>
      </w:r>
      <w:r w:rsidRPr="007E02A9">
        <w:rPr>
          <w:lang w:val="fr-CA"/>
        </w:rPr>
        <w:t>être envisagées pour aider à réduire le risque de Legionella et d’autres pathogènes à base d’eau :</w:t>
      </w:r>
    </w:p>
    <w:p w14:paraId="2901AAFB" w14:textId="77777777" w:rsidR="00B361E0" w:rsidRPr="007E02A9" w:rsidRDefault="00B361E0">
      <w:pPr>
        <w:pStyle w:val="BodyText"/>
        <w:spacing w:before="183"/>
        <w:rPr>
          <w:lang w:val="fr-CA"/>
        </w:rPr>
      </w:pPr>
    </w:p>
    <w:p w14:paraId="4009343A" w14:textId="77777777" w:rsidR="00B361E0" w:rsidRPr="007E02A9" w:rsidRDefault="007E02A9">
      <w:pPr>
        <w:pStyle w:val="ListParagraph"/>
        <w:numPr>
          <w:ilvl w:val="0"/>
          <w:numId w:val="1"/>
        </w:numPr>
        <w:tabs>
          <w:tab w:val="left" w:pos="1559"/>
        </w:tabs>
        <w:spacing w:before="0"/>
        <w:ind w:left="1559" w:hanging="359"/>
        <w:rPr>
          <w:sz w:val="24"/>
          <w:lang w:val="fr-CA"/>
        </w:rPr>
      </w:pPr>
      <w:r w:rsidRPr="007E02A9">
        <w:rPr>
          <w:sz w:val="24"/>
          <w:szCs w:val="24"/>
          <w:lang w:val="fr-CA"/>
        </w:rPr>
        <w:t>Effectuer une évaluation des risques du système de plomberie des installations</w:t>
      </w:r>
    </w:p>
    <w:p w14:paraId="3C257521" w14:textId="77777777" w:rsidR="00B361E0" w:rsidRPr="007E02A9" w:rsidRDefault="007E02A9">
      <w:pPr>
        <w:pStyle w:val="ListParagraph"/>
        <w:numPr>
          <w:ilvl w:val="0"/>
          <w:numId w:val="1"/>
        </w:numPr>
        <w:tabs>
          <w:tab w:val="left" w:pos="1559"/>
        </w:tabs>
        <w:ind w:left="1559" w:hanging="359"/>
        <w:rPr>
          <w:sz w:val="24"/>
          <w:lang w:val="fr-CA"/>
        </w:rPr>
      </w:pPr>
      <w:r w:rsidRPr="007E02A9">
        <w:rPr>
          <w:sz w:val="24"/>
          <w:szCs w:val="24"/>
          <w:lang w:val="fr-CA"/>
        </w:rPr>
        <w:t xml:space="preserve">Mettre en œuvre un régime de rinçage pour le personnel de </w:t>
      </w:r>
      <w:r w:rsidRPr="007E02A9">
        <w:rPr>
          <w:sz w:val="24"/>
          <w:szCs w:val="24"/>
          <w:lang w:val="fr-CA"/>
        </w:rPr>
        <w:t>l’installation</w:t>
      </w:r>
    </w:p>
    <w:p w14:paraId="040B4796" w14:textId="77777777" w:rsidR="00B361E0" w:rsidRPr="007E02A9" w:rsidRDefault="007E02A9">
      <w:pPr>
        <w:pStyle w:val="ListParagraph"/>
        <w:numPr>
          <w:ilvl w:val="0"/>
          <w:numId w:val="1"/>
        </w:numPr>
        <w:tabs>
          <w:tab w:val="left" w:pos="1560"/>
        </w:tabs>
        <w:ind w:right="2206"/>
        <w:rPr>
          <w:sz w:val="24"/>
          <w:lang w:val="fr-CA"/>
        </w:rPr>
      </w:pPr>
      <w:r w:rsidRPr="007E02A9">
        <w:rPr>
          <w:sz w:val="24"/>
          <w:szCs w:val="24"/>
          <w:lang w:val="fr-CA"/>
        </w:rPr>
        <w:t>Lorsque les occupants reviennent, leur demander de faire couler de l’eau pendant dix minutes avant de l’utiliser</w:t>
      </w:r>
    </w:p>
    <w:p w14:paraId="3FC5FBBE" w14:textId="77777777" w:rsidR="00B361E0" w:rsidRPr="007E02A9" w:rsidRDefault="007E02A9">
      <w:pPr>
        <w:pStyle w:val="ListParagraph"/>
        <w:numPr>
          <w:ilvl w:val="0"/>
          <w:numId w:val="1"/>
        </w:numPr>
        <w:tabs>
          <w:tab w:val="left" w:pos="1559"/>
        </w:tabs>
        <w:ind w:left="1559" w:hanging="359"/>
        <w:rPr>
          <w:sz w:val="24"/>
          <w:lang w:val="fr-CA"/>
        </w:rPr>
      </w:pPr>
      <w:r w:rsidRPr="007E02A9">
        <w:rPr>
          <w:sz w:val="24"/>
          <w:szCs w:val="24"/>
          <w:lang w:val="fr-CA"/>
        </w:rPr>
        <w:t>Hyperchloration, surchauffe et rinçage</w:t>
      </w:r>
    </w:p>
    <w:p w14:paraId="29576EFB" w14:textId="77777777" w:rsidR="00B361E0" w:rsidRPr="007E02A9" w:rsidRDefault="007E02A9">
      <w:pPr>
        <w:pStyle w:val="ListParagraph"/>
        <w:numPr>
          <w:ilvl w:val="0"/>
          <w:numId w:val="1"/>
        </w:numPr>
        <w:tabs>
          <w:tab w:val="left" w:pos="1560"/>
        </w:tabs>
        <w:spacing w:before="93"/>
        <w:ind w:right="1939"/>
        <w:rPr>
          <w:sz w:val="24"/>
          <w:lang w:val="fr-CA"/>
        </w:rPr>
      </w:pPr>
      <w:r w:rsidRPr="007E02A9">
        <w:rPr>
          <w:sz w:val="24"/>
          <w:szCs w:val="24"/>
          <w:lang w:val="fr-CA"/>
        </w:rPr>
        <w:t>Installer des filtres aux points d’utilisation pour les zones à haut risque ou sur toutes</w:t>
      </w:r>
      <w:r w:rsidRPr="007E02A9">
        <w:rPr>
          <w:sz w:val="24"/>
          <w:szCs w:val="24"/>
          <w:lang w:val="fr-CA"/>
        </w:rPr>
        <w:t xml:space="preserve"> les sorties pour maximiser la sécurité</w:t>
      </w:r>
    </w:p>
    <w:p w14:paraId="1A496D8D" w14:textId="77777777" w:rsidR="00B361E0" w:rsidRPr="007E02A9" w:rsidRDefault="007E02A9">
      <w:pPr>
        <w:pStyle w:val="ListParagraph"/>
        <w:numPr>
          <w:ilvl w:val="0"/>
          <w:numId w:val="1"/>
        </w:numPr>
        <w:tabs>
          <w:tab w:val="left" w:pos="1560"/>
        </w:tabs>
        <w:ind w:right="1754"/>
        <w:rPr>
          <w:sz w:val="24"/>
          <w:lang w:val="fr-CA"/>
        </w:rPr>
      </w:pPr>
      <w:r w:rsidRPr="007E02A9">
        <w:rPr>
          <w:sz w:val="24"/>
          <w:szCs w:val="24"/>
          <w:lang w:val="fr-CA"/>
        </w:rPr>
        <w:t>Si le bâtiment utilise des robinets à faible débit, envisager que les risques de Legionella pourraient être encore plus élevés</w:t>
      </w:r>
    </w:p>
    <w:p w14:paraId="0DFC6FF3" w14:textId="77777777" w:rsidR="00B361E0" w:rsidRPr="007E02A9" w:rsidRDefault="00B361E0">
      <w:pPr>
        <w:pStyle w:val="BodyText"/>
        <w:spacing w:before="180"/>
        <w:rPr>
          <w:lang w:val="fr-CA"/>
        </w:rPr>
      </w:pPr>
    </w:p>
    <w:p w14:paraId="285F79D2" w14:textId="77777777" w:rsidR="00B361E0" w:rsidRPr="007E02A9" w:rsidRDefault="007E02A9">
      <w:pPr>
        <w:pStyle w:val="BodyText"/>
        <w:ind w:left="840" w:right="1760"/>
        <w:rPr>
          <w:lang w:val="fr-CA"/>
        </w:rPr>
      </w:pPr>
      <w:r w:rsidRPr="007E02A9">
        <w:rPr>
          <w:lang w:val="fr-CA"/>
        </w:rPr>
        <w:t>Pour aider à assurer l’atténuation de la Legionella et d’autres agents pathogènes à base</w:t>
      </w:r>
      <w:r w:rsidRPr="007E02A9">
        <w:rPr>
          <w:lang w:val="fr-CA"/>
        </w:rPr>
        <w:t xml:space="preserve"> d’eau, une fois que le bâtiment reprend ses activités normales, il est fortement recommandé que le gestionnaire de l’installation continue à ouvrir les robinets régulièrement et continue à mettre en œuvre d’autres solutions, du point d’entrée au point d’u</w:t>
      </w:r>
      <w:r w:rsidRPr="007E02A9">
        <w:rPr>
          <w:lang w:val="fr-CA"/>
        </w:rPr>
        <w:t>tilisation, au besoin.</w:t>
      </w:r>
    </w:p>
    <w:p w14:paraId="71D13E22" w14:textId="77777777" w:rsidR="00B361E0" w:rsidRPr="007E02A9" w:rsidRDefault="00B361E0">
      <w:pPr>
        <w:pStyle w:val="BodyText"/>
        <w:spacing w:before="185"/>
        <w:rPr>
          <w:lang w:val="fr-CA"/>
        </w:rPr>
      </w:pPr>
    </w:p>
    <w:p w14:paraId="03499E2F" w14:textId="77777777" w:rsidR="00B361E0" w:rsidRPr="007E02A9" w:rsidRDefault="007E02A9" w:rsidP="007E02A9">
      <w:pPr>
        <w:pStyle w:val="BodyText"/>
        <w:ind w:left="840" w:right="1480"/>
        <w:rPr>
          <w:lang w:val="fr-CA"/>
        </w:rPr>
      </w:pPr>
      <w:r w:rsidRPr="007E02A9">
        <w:rPr>
          <w:lang w:val="fr-CA"/>
        </w:rPr>
        <w:t xml:space="preserve">Apprenez-en davantage sur l’atténuation de la légionelle et d’autres bactéries à base d’eau sur </w:t>
      </w:r>
      <w:hyperlink r:id="rId6">
        <w:r w:rsidRPr="007E02A9">
          <w:rPr>
            <w:color w:val="0000FF"/>
            <w:u w:val="single"/>
            <w:lang w:val="fr-CA"/>
          </w:rPr>
          <w:t>www.legionella-strategies.com</w:t>
        </w:r>
      </w:hyperlink>
      <w:r w:rsidRPr="007E02A9">
        <w:rPr>
          <w:lang w:val="fr-CA"/>
        </w:rPr>
        <w:t>.</w:t>
      </w:r>
    </w:p>
    <w:p w14:paraId="3A46200E" w14:textId="77777777" w:rsidR="00B361E0" w:rsidRPr="007E02A9" w:rsidRDefault="00B361E0">
      <w:pPr>
        <w:pStyle w:val="BodyText"/>
        <w:rPr>
          <w:sz w:val="20"/>
          <w:lang w:val="fr-CA"/>
        </w:rPr>
      </w:pPr>
    </w:p>
    <w:p w14:paraId="5202132D" w14:textId="77777777" w:rsidR="00B361E0" w:rsidRPr="007E02A9" w:rsidRDefault="00B361E0">
      <w:pPr>
        <w:pStyle w:val="BodyText"/>
        <w:rPr>
          <w:sz w:val="20"/>
          <w:lang w:val="fr-CA"/>
        </w:rPr>
      </w:pPr>
    </w:p>
    <w:p w14:paraId="34A68FD2" w14:textId="77777777" w:rsidR="00B361E0" w:rsidRPr="007E02A9" w:rsidRDefault="00B361E0">
      <w:pPr>
        <w:pStyle w:val="BodyText"/>
        <w:rPr>
          <w:sz w:val="20"/>
          <w:lang w:val="fr-CA"/>
        </w:rPr>
      </w:pPr>
    </w:p>
    <w:p w14:paraId="74E84965" w14:textId="77777777" w:rsidR="00B361E0" w:rsidRPr="007E02A9" w:rsidRDefault="00B361E0">
      <w:pPr>
        <w:pStyle w:val="BodyText"/>
        <w:rPr>
          <w:sz w:val="20"/>
          <w:lang w:val="fr-CA"/>
        </w:rPr>
      </w:pPr>
    </w:p>
    <w:p w14:paraId="0E54AD4B" w14:textId="77777777" w:rsidR="00B361E0" w:rsidRPr="007E02A9" w:rsidRDefault="00B361E0">
      <w:pPr>
        <w:pStyle w:val="BodyText"/>
        <w:rPr>
          <w:sz w:val="20"/>
          <w:lang w:val="fr-CA"/>
        </w:rPr>
      </w:pPr>
    </w:p>
    <w:p w14:paraId="6188C4A0" w14:textId="77777777" w:rsidR="00B361E0" w:rsidRPr="007E02A9" w:rsidRDefault="00B361E0">
      <w:pPr>
        <w:pStyle w:val="BodyText"/>
        <w:rPr>
          <w:sz w:val="20"/>
          <w:lang w:val="fr-CA"/>
        </w:rPr>
      </w:pPr>
    </w:p>
    <w:p w14:paraId="56EC18AC" w14:textId="77777777" w:rsidR="00B361E0" w:rsidRPr="007E02A9" w:rsidRDefault="00B361E0">
      <w:pPr>
        <w:pStyle w:val="BodyText"/>
        <w:rPr>
          <w:sz w:val="20"/>
          <w:lang w:val="fr-CA"/>
        </w:rPr>
      </w:pPr>
    </w:p>
    <w:p w14:paraId="3A7B6390" w14:textId="77777777" w:rsidR="00B361E0" w:rsidRPr="007E02A9" w:rsidRDefault="00B361E0">
      <w:pPr>
        <w:pStyle w:val="BodyText"/>
        <w:spacing w:before="36"/>
        <w:rPr>
          <w:sz w:val="20"/>
          <w:lang w:val="fr-CA"/>
        </w:rPr>
      </w:pPr>
    </w:p>
    <w:p w14:paraId="2AA7666D" w14:textId="77777777" w:rsidR="00B361E0" w:rsidRPr="007E02A9" w:rsidRDefault="007E02A9">
      <w:pPr>
        <w:tabs>
          <w:tab w:val="left" w:pos="8539"/>
        </w:tabs>
        <w:spacing w:before="1"/>
        <w:ind w:left="885"/>
        <w:rPr>
          <w:sz w:val="20"/>
          <w:lang w:val="fr-CA"/>
        </w:rPr>
      </w:pPr>
      <w:r w:rsidRPr="007E02A9">
        <w:rPr>
          <w:sz w:val="20"/>
          <w:szCs w:val="20"/>
          <w:lang w:val="fr-CA"/>
        </w:rPr>
        <w:t xml:space="preserve">WP-P- Atténuation du risque accru de Legionella dans les bâtiments inoccupés </w:t>
      </w:r>
      <w:r w:rsidRPr="007E02A9">
        <w:rPr>
          <w:sz w:val="20"/>
          <w:szCs w:val="20"/>
          <w:lang w:val="fr-CA"/>
        </w:rPr>
        <w:tab/>
        <w:t>©2020</w:t>
      </w:r>
    </w:p>
    <w:p w14:paraId="731138A3" w14:textId="77777777" w:rsidR="00B361E0" w:rsidRPr="007E02A9" w:rsidRDefault="00B361E0">
      <w:pPr>
        <w:pStyle w:val="BodyText"/>
        <w:rPr>
          <w:sz w:val="20"/>
          <w:lang w:val="fr-CA"/>
        </w:rPr>
      </w:pPr>
    </w:p>
    <w:p w14:paraId="76B6CBA2" w14:textId="77777777" w:rsidR="00B361E0" w:rsidRPr="007E02A9" w:rsidRDefault="00B361E0">
      <w:pPr>
        <w:pStyle w:val="BodyText"/>
        <w:rPr>
          <w:sz w:val="20"/>
          <w:lang w:val="fr-CA"/>
        </w:rPr>
      </w:pPr>
    </w:p>
    <w:p w14:paraId="5DAF00F5" w14:textId="77777777" w:rsidR="00B361E0" w:rsidRPr="007E02A9" w:rsidRDefault="007E02A9">
      <w:pPr>
        <w:pStyle w:val="BodyText"/>
        <w:spacing w:before="169"/>
        <w:rPr>
          <w:sz w:val="20"/>
          <w:lang w:val="fr-CA"/>
        </w:rPr>
      </w:pPr>
      <w:r w:rsidRPr="007E02A9">
        <w:rPr>
          <w:noProof/>
          <w:sz w:val="20"/>
          <w:lang w:val="fr-CA"/>
        </w:rPr>
        <mc:AlternateContent>
          <mc:Choice Requires="wps">
            <w:drawing>
              <wp:anchor distT="0" distB="0" distL="114300" distR="114300" simplePos="0" relativeHeight="251657216" behindDoc="0" locked="0" layoutInCell="1" allowOverlap="1" wp14:anchorId="17D1E9B3" wp14:editId="6AFF3804">
                <wp:simplePos x="0" y="0"/>
                <wp:positionH relativeFrom="column">
                  <wp:posOffset>4114800</wp:posOffset>
                </wp:positionH>
                <wp:positionV relativeFrom="paragraph">
                  <wp:posOffset>698500</wp:posOffset>
                </wp:positionV>
                <wp:extent cx="2914650" cy="609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14650" cy="609600"/>
                        </a:xfrm>
                        <a:prstGeom prst="rect">
                          <a:avLst/>
                        </a:prstGeom>
                        <a:solidFill>
                          <a:schemeClr val="lt1"/>
                        </a:solidFill>
                        <a:ln w="6350">
                          <a:noFill/>
                        </a:ln>
                      </wps:spPr>
                      <wps:txbx>
                        <w:txbxContent>
                          <w:p w14:paraId="55440EDA" w14:textId="77777777" w:rsidR="007E4D78" w:rsidRDefault="007E02A9" w:rsidP="007E4D78">
                            <w:pPr>
                              <w:spacing w:after="120"/>
                              <w:rPr>
                                <w:sz w:val="14"/>
                                <w:lang w:val="en-IN"/>
                              </w:rPr>
                            </w:pPr>
                            <w:r w:rsidRPr="007E02A9">
                              <w:rPr>
                                <w:b/>
                                <w:bCs/>
                                <w:sz w:val="14"/>
                                <w:szCs w:val="14"/>
                              </w:rPr>
                              <w:t>É.-U. :</w:t>
                            </w:r>
                            <w:r w:rsidRPr="007E02A9">
                              <w:rPr>
                                <w:sz w:val="14"/>
                                <w:szCs w:val="14"/>
                              </w:rPr>
                              <w:t xml:space="preserve"> Tél. : (978) 689-6066 </w:t>
                            </w:r>
                            <w:r>
                              <w:rPr>
                                <w:rFonts w:ascii="Wingdings 2" w:eastAsia="Wingdings 2" w:hAnsi="Wingdings 2" w:cs="Wingdings 2"/>
                                <w:sz w:val="14"/>
                                <w:szCs w:val="14"/>
                                <w:lang w:val="fr-CA"/>
                              </w:rPr>
                              <w:sym w:font="Wingdings 2" w:char="F096"/>
                            </w:r>
                            <w:r w:rsidRPr="007E02A9">
                              <w:rPr>
                                <w:sz w:val="14"/>
                                <w:szCs w:val="14"/>
                              </w:rPr>
                              <w:t xml:space="preserve"> F : (978) 975-8350 </w:t>
                            </w:r>
                            <w:r>
                              <w:rPr>
                                <w:rFonts w:ascii="Wingdings 2" w:eastAsia="Wingdings 2" w:hAnsi="Wingdings 2" w:cs="Wingdings 2"/>
                                <w:sz w:val="14"/>
                                <w:szCs w:val="14"/>
                                <w:lang w:val="fr-CA"/>
                              </w:rPr>
                              <w:sym w:font="Wingdings 2" w:char="F096"/>
                            </w:r>
                            <w:r w:rsidRPr="007E02A9">
                              <w:rPr>
                                <w:sz w:val="14"/>
                                <w:szCs w:val="14"/>
                              </w:rPr>
                              <w:t xml:space="preserve"> Watts.com</w:t>
                            </w:r>
                          </w:p>
                          <w:p w14:paraId="2EFAA287" w14:textId="77777777" w:rsidR="007E4D78" w:rsidRDefault="007E02A9" w:rsidP="007E4D78">
                            <w:pPr>
                              <w:spacing w:after="120"/>
                              <w:rPr>
                                <w:sz w:val="14"/>
                                <w:lang w:val="en-IN"/>
                              </w:rPr>
                            </w:pPr>
                            <w:r>
                              <w:rPr>
                                <w:b/>
                                <w:bCs/>
                                <w:sz w:val="14"/>
                                <w:szCs w:val="14"/>
                                <w:lang w:val="fr-CA"/>
                              </w:rPr>
                              <w:t>Canada :</w:t>
                            </w:r>
                            <w:r>
                              <w:rPr>
                                <w:sz w:val="14"/>
                                <w:szCs w:val="14"/>
                                <w:lang w:val="fr-CA"/>
                              </w:rPr>
                              <w:t xml:space="preserve"> Tél. : (905) 332-4090 </w:t>
                            </w:r>
                            <w:r>
                              <w:rPr>
                                <w:rFonts w:ascii="Wingdings 2" w:eastAsia="Wingdings 2" w:hAnsi="Wingdings 2" w:cs="Wingdings 2"/>
                                <w:sz w:val="14"/>
                                <w:szCs w:val="14"/>
                                <w:lang w:val="fr-CA"/>
                              </w:rPr>
                              <w:sym w:font="Wingdings 2" w:char="F096"/>
                            </w:r>
                            <w:r>
                              <w:rPr>
                                <w:sz w:val="14"/>
                                <w:szCs w:val="14"/>
                                <w:lang w:val="fr-CA"/>
                              </w:rPr>
                              <w:t xml:space="preserve"> F : (905) 332-7068 </w:t>
                            </w:r>
                            <w:r>
                              <w:rPr>
                                <w:rFonts w:ascii="Wingdings 2" w:eastAsia="Wingdings 2" w:hAnsi="Wingdings 2" w:cs="Wingdings 2"/>
                                <w:sz w:val="14"/>
                                <w:szCs w:val="14"/>
                                <w:lang w:val="fr-CA"/>
                              </w:rPr>
                              <w:sym w:font="Wingdings 2" w:char="F096"/>
                            </w:r>
                            <w:r>
                              <w:rPr>
                                <w:sz w:val="14"/>
                                <w:szCs w:val="14"/>
                                <w:lang w:val="fr-CA"/>
                              </w:rPr>
                              <w:t xml:space="preserve"> Watts.ca</w:t>
                            </w:r>
                          </w:p>
                          <w:p w14:paraId="6039ED02" w14:textId="77777777" w:rsidR="007E4D78" w:rsidRPr="007E4D78" w:rsidRDefault="007E02A9" w:rsidP="007E4D78">
                            <w:pPr>
                              <w:spacing w:after="120"/>
                              <w:rPr>
                                <w:sz w:val="14"/>
                                <w:lang w:val="en-IN"/>
                              </w:rPr>
                            </w:pPr>
                            <w:r>
                              <w:rPr>
                                <w:b/>
                                <w:bCs/>
                                <w:sz w:val="14"/>
                                <w:szCs w:val="14"/>
                                <w:lang w:val="fr-CA"/>
                              </w:rPr>
                              <w:t>Amérique latine :</w:t>
                            </w:r>
                            <w:r>
                              <w:rPr>
                                <w:sz w:val="14"/>
                                <w:szCs w:val="14"/>
                                <w:lang w:val="fr-CA"/>
                              </w:rPr>
                              <w:t xml:space="preserve"> Tél. : (52) 81-1001-860</w:t>
                            </w:r>
                            <w:r>
                              <w:rPr>
                                <w:sz w:val="14"/>
                                <w:szCs w:val="14"/>
                                <w:lang w:val="fr-CA"/>
                              </w:rPr>
                              <w:t xml:space="preserve">0 • </w:t>
                            </w:r>
                            <w:r>
                              <w:rPr>
                                <w:rFonts w:ascii="Wingdings 2" w:eastAsia="Wingdings 2" w:hAnsi="Wingdings 2" w:cs="Wingdings 2"/>
                                <w:sz w:val="14"/>
                                <w:szCs w:val="14"/>
                                <w:lang w:val="fr-CA"/>
                              </w:rPr>
                              <w:sym w:font="Wingdings 2" w:char="F096"/>
                            </w:r>
                            <w:r>
                              <w:rPr>
                                <w:sz w:val="14"/>
                                <w:szCs w:val="14"/>
                                <w:lang w:val="fr-CA"/>
                              </w:rPr>
                              <w:t>Watts.com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7D1E9B3" id="_x0000_t202" coordsize="21600,21600" o:spt="202" path="m,l,21600r21600,l21600,xe">
                <v:stroke joinstyle="miter"/>
                <v:path gradientshapeok="t" o:connecttype="rect"/>
              </v:shapetype>
              <v:shape id="Text Box 6" o:spid="_x0000_s1026" type="#_x0000_t202" style="position:absolute;margin-left:324pt;margin-top:55pt;width:229.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MRNwIAAGsEAAAOAAAAZHJzL2Uyb0RvYy54bWysVE1v2zAMvQ/YfxB0X+xkrbcGcYquRYYB&#10;RVsgHXpWZDk2IIuapMbufv2eZKftup2GXWTxQyTfI+nV+dBpdlDOt2RKPp/lnCkjqWrNvuTf7zcf&#10;PnPmgzCV0GRUyZ+U5+fr9+9WvV2qBTWkK+UYghi/7G3JmxDsMsu8bFQn/IysMjDW5DoRILp9VjnR&#10;I3qns0WeF1lPrrKOpPIe2qvRyNcpfl0rGW7r2qvAdMlRW0inS+cuntl6JZZ7J2zTyqkM8Q9VdKI1&#10;SPoc6koEwR5d+0eorpWOPNVhJqnLqK5bqRIGoJnnb9BsG2FVwgJyvH2myf+/sPLmcOdYW5W84MyI&#10;Di26V0NgX2hgRWSnt34Jp62FWxigRpePeg9lBD3UrotfwGGwg+enZ25jMAnl4mx+UpzCJGEr8rMi&#10;T+RnL6+t8+Groo7FS8kdepcoFYdrH1AJXI8uMZkn3VabVuskxHlRl9qxg0CndUg14sVvXtqwHsk/&#10;ooz4yFB8PkbWBgki1hFTvIVhN0wE7Kh6An5H4/x4KzctirwWPtwJh4EBLixBuMVRa0ISmm6cNeR+&#10;/k0f/dFHWDnrMYAl9z8ehVOc6W8GHQZfJ3Fik3By+mkBwb227F5bzGN3SUA+x7pZma7RP+jjtXbU&#10;PWBXLmJWmISRyF3ycLxehnEtsGtSXVwkJ8yoFeHabK2MoSNpsQX3w4NwdupTQIdv6DiqYvmmXaPv&#10;RO7I4yRgolNTp+2LK/NaTl4v/4j1LwAAAP//AwBQSwMEFAAGAAgAAAAhAHKWgtjhAAAADAEAAA8A&#10;AABkcnMvZG93bnJldi54bWxMj0tPwzAQhO9I/AdrkbggaqeFtApxKoR4SNxoeIibGy9JRLyOYjcJ&#10;/57tCW6zmtHsN/l2dp0YcQitJw3JQoFAqrxtqdbwWj5cbkCEaMiazhNq+MEA2+L0JDeZ9RO94LiL&#10;teASCpnR0MTYZ1KGqkFnwsL3SOx9+cGZyOdQSzuYictdJ5dKpdKZlvhDY3q8a7D63h2chs+L+uM5&#10;zI9v0+p61d8/jeX63ZZan5/NtzcgIs7xLwxHfEaHgpn2/kA2iE5DerXhLZGNRLE4JhK1ZrXXsFSp&#10;Alnk8v+I4hcAAP//AwBQSwECLQAUAAYACAAAACEAtoM4kv4AAADhAQAAEwAAAAAAAAAAAAAAAAAA&#10;AAAAW0NvbnRlbnRfVHlwZXNdLnhtbFBLAQItABQABgAIAAAAIQA4/SH/1gAAAJQBAAALAAAAAAAA&#10;AAAAAAAAAC8BAABfcmVscy8ucmVsc1BLAQItABQABgAIAAAAIQCsHhMRNwIAAGsEAAAOAAAAAAAA&#10;AAAAAAAAAC4CAABkcnMvZTJvRG9jLnhtbFBLAQItABQABgAIAAAAIQByloLY4QAAAAwBAAAPAAAA&#10;AAAAAAAAAAAAAJEEAABkcnMvZG93bnJldi54bWxQSwUGAAAAAAQABADzAAAAnwUAAAAA&#10;" fillcolor="white [3201]" stroked="f" strokeweight=".5pt">
                <v:textbox>
                  <w:txbxContent>
                    <w:p w14:paraId="55440EDA" w14:textId="77777777" w:rsidR="007E4D78" w:rsidRDefault="007E02A9" w:rsidP="007E4D78">
                      <w:pPr>
                        <w:spacing w:after="120"/>
                        <w:rPr>
                          <w:sz w:val="14"/>
                          <w:lang w:val="en-IN"/>
                        </w:rPr>
                      </w:pPr>
                      <w:r w:rsidRPr="007E02A9">
                        <w:rPr>
                          <w:b/>
                          <w:bCs/>
                          <w:sz w:val="14"/>
                          <w:szCs w:val="14"/>
                        </w:rPr>
                        <w:t>É.-U. :</w:t>
                      </w:r>
                      <w:r w:rsidRPr="007E02A9">
                        <w:rPr>
                          <w:sz w:val="14"/>
                          <w:szCs w:val="14"/>
                        </w:rPr>
                        <w:t xml:space="preserve"> Tél. : (978) 689-6066 </w:t>
                      </w:r>
                      <w:r>
                        <w:rPr>
                          <w:rFonts w:ascii="Wingdings 2" w:eastAsia="Wingdings 2" w:hAnsi="Wingdings 2" w:cs="Wingdings 2"/>
                          <w:sz w:val="14"/>
                          <w:szCs w:val="14"/>
                          <w:lang w:val="fr-CA"/>
                        </w:rPr>
                        <w:sym w:font="Wingdings 2" w:char="F096"/>
                      </w:r>
                      <w:r w:rsidRPr="007E02A9">
                        <w:rPr>
                          <w:sz w:val="14"/>
                          <w:szCs w:val="14"/>
                        </w:rPr>
                        <w:t xml:space="preserve"> F : (978) 975-8350 </w:t>
                      </w:r>
                      <w:r>
                        <w:rPr>
                          <w:rFonts w:ascii="Wingdings 2" w:eastAsia="Wingdings 2" w:hAnsi="Wingdings 2" w:cs="Wingdings 2"/>
                          <w:sz w:val="14"/>
                          <w:szCs w:val="14"/>
                          <w:lang w:val="fr-CA"/>
                        </w:rPr>
                        <w:sym w:font="Wingdings 2" w:char="F096"/>
                      </w:r>
                      <w:r w:rsidRPr="007E02A9">
                        <w:rPr>
                          <w:sz w:val="14"/>
                          <w:szCs w:val="14"/>
                        </w:rPr>
                        <w:t xml:space="preserve"> Watts.com</w:t>
                      </w:r>
                    </w:p>
                    <w:p w14:paraId="2EFAA287" w14:textId="77777777" w:rsidR="007E4D78" w:rsidRDefault="007E02A9" w:rsidP="007E4D78">
                      <w:pPr>
                        <w:spacing w:after="120"/>
                        <w:rPr>
                          <w:sz w:val="14"/>
                          <w:lang w:val="en-IN"/>
                        </w:rPr>
                      </w:pPr>
                      <w:r>
                        <w:rPr>
                          <w:b/>
                          <w:bCs/>
                          <w:sz w:val="14"/>
                          <w:szCs w:val="14"/>
                          <w:lang w:val="fr-CA"/>
                        </w:rPr>
                        <w:t>Canada :</w:t>
                      </w:r>
                      <w:r>
                        <w:rPr>
                          <w:sz w:val="14"/>
                          <w:szCs w:val="14"/>
                          <w:lang w:val="fr-CA"/>
                        </w:rPr>
                        <w:t xml:space="preserve"> Tél. : (905) 332-4090 </w:t>
                      </w:r>
                      <w:r>
                        <w:rPr>
                          <w:rFonts w:ascii="Wingdings 2" w:eastAsia="Wingdings 2" w:hAnsi="Wingdings 2" w:cs="Wingdings 2"/>
                          <w:sz w:val="14"/>
                          <w:szCs w:val="14"/>
                          <w:lang w:val="fr-CA"/>
                        </w:rPr>
                        <w:sym w:font="Wingdings 2" w:char="F096"/>
                      </w:r>
                      <w:r>
                        <w:rPr>
                          <w:sz w:val="14"/>
                          <w:szCs w:val="14"/>
                          <w:lang w:val="fr-CA"/>
                        </w:rPr>
                        <w:t xml:space="preserve"> F : (905) 332-7068 </w:t>
                      </w:r>
                      <w:r>
                        <w:rPr>
                          <w:rFonts w:ascii="Wingdings 2" w:eastAsia="Wingdings 2" w:hAnsi="Wingdings 2" w:cs="Wingdings 2"/>
                          <w:sz w:val="14"/>
                          <w:szCs w:val="14"/>
                          <w:lang w:val="fr-CA"/>
                        </w:rPr>
                        <w:sym w:font="Wingdings 2" w:char="F096"/>
                      </w:r>
                      <w:r>
                        <w:rPr>
                          <w:sz w:val="14"/>
                          <w:szCs w:val="14"/>
                          <w:lang w:val="fr-CA"/>
                        </w:rPr>
                        <w:t xml:space="preserve"> Watts.ca</w:t>
                      </w:r>
                    </w:p>
                    <w:p w14:paraId="6039ED02" w14:textId="77777777" w:rsidR="007E4D78" w:rsidRPr="007E4D78" w:rsidRDefault="007E02A9" w:rsidP="007E4D78">
                      <w:pPr>
                        <w:spacing w:after="120"/>
                        <w:rPr>
                          <w:sz w:val="14"/>
                          <w:lang w:val="en-IN"/>
                        </w:rPr>
                      </w:pPr>
                      <w:r>
                        <w:rPr>
                          <w:b/>
                          <w:bCs/>
                          <w:sz w:val="14"/>
                          <w:szCs w:val="14"/>
                          <w:lang w:val="fr-CA"/>
                        </w:rPr>
                        <w:t>Amérique latine :</w:t>
                      </w:r>
                      <w:r>
                        <w:rPr>
                          <w:sz w:val="14"/>
                          <w:szCs w:val="14"/>
                          <w:lang w:val="fr-CA"/>
                        </w:rPr>
                        <w:t xml:space="preserve"> Tél. : (52) 81-1001-860</w:t>
                      </w:r>
                      <w:r>
                        <w:rPr>
                          <w:sz w:val="14"/>
                          <w:szCs w:val="14"/>
                          <w:lang w:val="fr-CA"/>
                        </w:rPr>
                        <w:t xml:space="preserve">0 • </w:t>
                      </w:r>
                      <w:r>
                        <w:rPr>
                          <w:rFonts w:ascii="Wingdings 2" w:eastAsia="Wingdings 2" w:hAnsi="Wingdings 2" w:cs="Wingdings 2"/>
                          <w:sz w:val="14"/>
                          <w:szCs w:val="14"/>
                          <w:lang w:val="fr-CA"/>
                        </w:rPr>
                        <w:sym w:font="Wingdings 2" w:char="F096"/>
                      </w:r>
                      <w:r>
                        <w:rPr>
                          <w:sz w:val="14"/>
                          <w:szCs w:val="14"/>
                          <w:lang w:val="fr-CA"/>
                        </w:rPr>
                        <w:t>Watts.com</w:t>
                      </w:r>
                    </w:p>
                  </w:txbxContent>
                </v:textbox>
              </v:shape>
            </w:pict>
          </mc:Fallback>
        </mc:AlternateContent>
      </w:r>
      <w:r w:rsidRPr="007E02A9">
        <w:rPr>
          <w:noProof/>
          <w:lang w:val="fr-CA"/>
        </w:rPr>
        <w:drawing>
          <wp:anchor distT="0" distB="0" distL="0" distR="0" simplePos="0" relativeHeight="251661312" behindDoc="1" locked="0" layoutInCell="1" allowOverlap="1" wp14:anchorId="5C14CFF0" wp14:editId="257A05FA">
            <wp:simplePos x="0" y="0"/>
            <wp:positionH relativeFrom="page">
              <wp:posOffset>454246</wp:posOffset>
            </wp:positionH>
            <wp:positionV relativeFrom="paragraph">
              <wp:posOffset>269177</wp:posOffset>
            </wp:positionV>
            <wp:extent cx="6649103" cy="804672"/>
            <wp:effectExtent l="0" t="0" r="0" b="0"/>
            <wp:wrapTopAndBottom/>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6649103" cy="804672"/>
                    </a:xfrm>
                    <a:prstGeom prst="rect">
                      <a:avLst/>
                    </a:prstGeom>
                  </pic:spPr>
                </pic:pic>
              </a:graphicData>
            </a:graphic>
          </wp:anchor>
        </w:drawing>
      </w:r>
    </w:p>
    <w:sectPr w:rsidR="00B361E0" w:rsidRPr="007E02A9">
      <w:pgSz w:w="12240" w:h="15840"/>
      <w:pgMar w:top="1420" w:right="4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06C2B"/>
    <w:multiLevelType w:val="hybridMultilevel"/>
    <w:tmpl w:val="F6BC16FE"/>
    <w:lvl w:ilvl="0" w:tplc="40848672">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1" w:tplc="4ADE9CD2">
      <w:numFmt w:val="bullet"/>
      <w:lvlText w:val="•"/>
      <w:lvlJc w:val="left"/>
      <w:pPr>
        <w:ind w:left="2524" w:hanging="360"/>
      </w:pPr>
      <w:rPr>
        <w:rFonts w:hint="default"/>
        <w:lang w:val="en-US" w:eastAsia="en-US" w:bidi="ar-SA"/>
      </w:rPr>
    </w:lvl>
    <w:lvl w:ilvl="2" w:tplc="8AE4F6B4">
      <w:numFmt w:val="bullet"/>
      <w:lvlText w:val="•"/>
      <w:lvlJc w:val="left"/>
      <w:pPr>
        <w:ind w:left="3488" w:hanging="360"/>
      </w:pPr>
      <w:rPr>
        <w:rFonts w:hint="default"/>
        <w:lang w:val="en-US" w:eastAsia="en-US" w:bidi="ar-SA"/>
      </w:rPr>
    </w:lvl>
    <w:lvl w:ilvl="3" w:tplc="DC78658C">
      <w:numFmt w:val="bullet"/>
      <w:lvlText w:val="•"/>
      <w:lvlJc w:val="left"/>
      <w:pPr>
        <w:ind w:left="4452" w:hanging="360"/>
      </w:pPr>
      <w:rPr>
        <w:rFonts w:hint="default"/>
        <w:lang w:val="en-US" w:eastAsia="en-US" w:bidi="ar-SA"/>
      </w:rPr>
    </w:lvl>
    <w:lvl w:ilvl="4" w:tplc="149AC732">
      <w:numFmt w:val="bullet"/>
      <w:lvlText w:val="•"/>
      <w:lvlJc w:val="left"/>
      <w:pPr>
        <w:ind w:left="5416" w:hanging="360"/>
      </w:pPr>
      <w:rPr>
        <w:rFonts w:hint="default"/>
        <w:lang w:val="en-US" w:eastAsia="en-US" w:bidi="ar-SA"/>
      </w:rPr>
    </w:lvl>
    <w:lvl w:ilvl="5" w:tplc="59720482">
      <w:numFmt w:val="bullet"/>
      <w:lvlText w:val="•"/>
      <w:lvlJc w:val="left"/>
      <w:pPr>
        <w:ind w:left="6380" w:hanging="360"/>
      </w:pPr>
      <w:rPr>
        <w:rFonts w:hint="default"/>
        <w:lang w:val="en-US" w:eastAsia="en-US" w:bidi="ar-SA"/>
      </w:rPr>
    </w:lvl>
    <w:lvl w:ilvl="6" w:tplc="5AFE2000">
      <w:numFmt w:val="bullet"/>
      <w:lvlText w:val="•"/>
      <w:lvlJc w:val="left"/>
      <w:pPr>
        <w:ind w:left="7344" w:hanging="360"/>
      </w:pPr>
      <w:rPr>
        <w:rFonts w:hint="default"/>
        <w:lang w:val="en-US" w:eastAsia="en-US" w:bidi="ar-SA"/>
      </w:rPr>
    </w:lvl>
    <w:lvl w:ilvl="7" w:tplc="2B3AA5F8">
      <w:numFmt w:val="bullet"/>
      <w:lvlText w:val="•"/>
      <w:lvlJc w:val="left"/>
      <w:pPr>
        <w:ind w:left="8308" w:hanging="360"/>
      </w:pPr>
      <w:rPr>
        <w:rFonts w:hint="default"/>
        <w:lang w:val="en-US" w:eastAsia="en-US" w:bidi="ar-SA"/>
      </w:rPr>
    </w:lvl>
    <w:lvl w:ilvl="8" w:tplc="A3DC9AE6">
      <w:numFmt w:val="bullet"/>
      <w:lvlText w:val="•"/>
      <w:lvlJc w:val="left"/>
      <w:pPr>
        <w:ind w:left="927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E0"/>
    <w:rsid w:val="00761432"/>
    <w:rsid w:val="007E02A9"/>
    <w:rsid w:val="007E4D78"/>
    <w:rsid w:val="009C7944"/>
    <w:rsid w:val="00B361E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3AFB"/>
  <w15:docId w15:val="{54F6743E-B69F-4798-B3B3-5959EC00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859" w:right="4084"/>
    </w:pPr>
    <w:rPr>
      <w:sz w:val="52"/>
      <w:szCs w:val="52"/>
    </w:rPr>
  </w:style>
  <w:style w:type="paragraph" w:styleId="ListParagraph">
    <w:name w:val="List Paragraph"/>
    <w:basedOn w:val="Normal"/>
    <w:uiPriority w:val="1"/>
    <w:qFormat/>
    <w:pPr>
      <w:spacing w:before="90"/>
      <w:ind w:left="1559" w:hanging="360"/>
    </w:pPr>
  </w:style>
  <w:style w:type="paragraph" w:customStyle="1" w:styleId="TableParagraph">
    <w:name w:val="Table Paragraph"/>
    <w:basedOn w:val="Normal"/>
    <w:uiPriority w:val="1"/>
    <w:qFormat/>
  </w:style>
  <w:style w:type="paragraph" w:styleId="Revision">
    <w:name w:val="Revision"/>
    <w:hidden/>
    <w:uiPriority w:val="99"/>
    <w:semiHidden/>
    <w:rsid w:val="0076143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onella-strategie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Digital Technology</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Technology</dc:title>
  <dc:creator>Null, Nancy A.</dc:creator>
  <cp:lastModifiedBy>Micaela Piperno</cp:lastModifiedBy>
  <cp:revision>4</cp:revision>
  <dcterms:created xsi:type="dcterms:W3CDTF">2023-11-17T08:03:00Z</dcterms:created>
  <dcterms:modified xsi:type="dcterms:W3CDTF">2023-11-21T19:26:00Z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Acrobat PDFMaker 19 for Word</vt:lpwstr>
  </property>
  <property fmtid="{D5CDD505-2E9C-101B-9397-08002B2CF9AE}" pid="4" name="LastSaved">
    <vt:filetime>2023-11-17T00:00:00Z</vt:filetime>
  </property>
  <property fmtid="{D5CDD505-2E9C-101B-9397-08002B2CF9AE}" pid="5" name="Producer">
    <vt:lpwstr>Adobe PDF Library 19.12.68</vt:lpwstr>
  </property>
  <property fmtid="{D5CDD505-2E9C-101B-9397-08002B2CF9AE}" pid="6" name="SourceModified">
    <vt:lpwstr>D:20200410194953</vt:lpwstr>
  </property>
</Properties>
</file>